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ind w:hanging="993"/>
        <w:jc w:val="center"/>
        <w:rPr>
          <w:b/>
          <w:iCs/>
          <w:lang w:val="sr-Cyrl-CS"/>
        </w:rPr>
      </w:pPr>
    </w:p>
    <w:p>
      <w:pPr>
        <w:ind w:hanging="993"/>
        <w:jc w:val="center"/>
        <w:rPr>
          <w:b/>
          <w:iCs/>
          <w:lang w:val="sl-SI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ind w:hanging="993"/>
        <w:jc w:val="center"/>
        <w:rPr>
          <w:b/>
          <w:bCs/>
          <w:i/>
          <w:iCs/>
          <w:lang w:val="sr-Cyrl-CS"/>
        </w:rPr>
      </w:pPr>
    </w:p>
    <w:p>
      <w:pPr>
        <w:ind w:hanging="993"/>
        <w:jc w:val="center"/>
        <w:rPr>
          <w:b/>
          <w:bCs/>
          <w:i/>
          <w:iCs/>
        </w:rPr>
      </w:pPr>
    </w:p>
    <w:tbl>
      <w:tblPr>
        <w:tblW w:w="103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42"/>
        <w:gridCol w:w="1418"/>
        <w:gridCol w:w="1389"/>
        <w:gridCol w:w="1559"/>
        <w:gridCol w:w="1592"/>
      </w:tblGrid>
      <w:t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</w:p>
          <w:p>
            <w:pPr>
              <w:pStyle w:val="TableContents"/>
              <w:rPr>
                <w:i/>
                <w:iCs/>
              </w:rPr>
            </w:pPr>
            <w:bookmarkStart w:id="0" w:name="_GoBack"/>
            <w:bookmarkEnd w:id="0"/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</w:pPr>
            <w:r>
              <w:rPr>
                <w:lang w:val="sr-Cyrl-CS"/>
              </w:rPr>
              <w:t xml:space="preserve">      24</w:t>
            </w:r>
            <w:r>
              <w:t>t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 уписати колико износи јединична цена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 уписати колико износи</w:t>
      </w:r>
      <w:r>
        <w:rPr>
          <w:bCs/>
          <w:iCs/>
          <w:lang w:val="sr-Cyrl-RS"/>
        </w:rPr>
        <w:t xml:space="preserve"> јединична цена,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 уписати </w:t>
      </w:r>
      <w:r>
        <w:rPr>
          <w:bCs/>
          <w:iCs/>
        </w:rPr>
        <w:t>укупн</w:t>
      </w:r>
      <w:r>
        <w:rPr>
          <w:bCs/>
          <w:iCs/>
          <w:lang w:val="sr-Cyrl-RS"/>
        </w:rPr>
        <w:t>у</w:t>
      </w:r>
      <w:r>
        <w:rPr>
          <w:bCs/>
          <w:iCs/>
        </w:rPr>
        <w:t xml:space="preserve"> цен</w:t>
      </w:r>
      <w:r>
        <w:rPr>
          <w:bCs/>
          <w:iCs/>
          <w:lang w:val="sr-Cyrl-RS"/>
        </w:rPr>
        <w:t>у,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 и то тако што ће помножити јединичну цену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 уписати колико износи укупна цена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са ПДВ-ом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2021-11-24T14:18:00Z</cp:lastPrinted>
  <dcterms:created xsi:type="dcterms:W3CDTF">2016-10-31T13:47:00Z</dcterms:created>
  <dcterms:modified xsi:type="dcterms:W3CDTF">2024-11-27T13:16:00Z</dcterms:modified>
</cp:coreProperties>
</file>