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sr-Cyrl-RS"/>
        </w:rPr>
        <w:t>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сат, по кориснику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24 корисника, за </w:t>
            </w:r>
            <w:r>
              <w:rPr>
                <w:b/>
                <w:color w:val="FF0000"/>
                <w:lang w:val="en-GB"/>
              </w:rPr>
              <w:t xml:space="preserve"> </w:t>
            </w:r>
            <w:r>
              <w:rPr>
                <w:b/>
                <w:color w:val="FF0000"/>
                <w:lang w:val="sr-Cyrl-RS"/>
              </w:rPr>
              <w:t xml:space="preserve">6 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месеци (закључно са 30.06</w:t>
            </w:r>
            <w:bookmarkStart w:id="1" w:name="_GoBack"/>
            <w:bookmarkEnd w:id="1"/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.2024. године)</w:t>
            </w:r>
            <w:r>
              <w:rPr>
                <w:rFonts w:cs="Times New Roman"/>
                <w:color w:val="FF0000"/>
                <w:sz w:val="24"/>
                <w:szCs w:val="24"/>
                <w:lang w:val="sr-Cyrl-RS"/>
              </w:rPr>
              <w:t>, са радним ангажовањем 4 геронтодомаћице, стручног и административног радника, 5 дана у недељи и са дневним радним ангажовањем од 8 сати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2024-12-27T07:40:00Z</cp:lastPrinted>
  <dcterms:created xsi:type="dcterms:W3CDTF">2022-01-25T10:22:00Z</dcterms:created>
  <dcterms:modified xsi:type="dcterms:W3CDTF">2024-12-27T07:44:00Z</dcterms:modified>
</cp:coreProperties>
</file>